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9" w:type="dxa"/>
        <w:tblCellSpacing w:w="15" w:type="dxa"/>
        <w:tblCellMar>
          <w:left w:w="0" w:type="dxa"/>
          <w:right w:w="0" w:type="dxa"/>
        </w:tblCellMar>
        <w:tblLook w:val="00A0"/>
      </w:tblPr>
      <w:tblGrid>
        <w:gridCol w:w="10699"/>
      </w:tblGrid>
      <w:tr w:rsidR="00251D90" w:rsidRPr="00196806" w:rsidTr="009B23AE">
        <w:trPr>
          <w:tblCellSpacing w:w="15" w:type="dxa"/>
        </w:trPr>
        <w:tc>
          <w:tcPr>
            <w:tcW w:w="5000" w:type="pct"/>
            <w:vAlign w:val="bottom"/>
          </w:tcPr>
          <w:p w:rsidR="00251D90" w:rsidRPr="009B23AE" w:rsidRDefault="00251D90" w:rsidP="003719FD">
            <w:pPr>
              <w:spacing w:after="0" w:line="240" w:lineRule="auto"/>
              <w:jc w:val="center"/>
              <w:rPr>
                <w:rFonts w:ascii="Times New Roman" w:hAnsi="Times New Roman"/>
                <w:b/>
                <w:bCs/>
                <w:color w:val="0F3372"/>
                <w:sz w:val="23"/>
                <w:szCs w:val="23"/>
              </w:rPr>
            </w:pPr>
            <w:hyperlink r:id="rId5" w:history="1">
              <w:r w:rsidRPr="009B23AE">
                <w:rPr>
                  <w:rFonts w:ascii="Times New Roman" w:hAnsi="Times New Roman"/>
                  <w:b/>
                  <w:bCs/>
                  <w:color w:val="0F3372"/>
                  <w:sz w:val="23"/>
                </w:rPr>
                <w:t>Критерії оцінювання навчальних досягнень учнів з біології у системі загальної освіти</w:t>
              </w:r>
            </w:hyperlink>
          </w:p>
        </w:tc>
      </w:tr>
    </w:tbl>
    <w:p w:rsidR="00251D90" w:rsidRPr="009B23AE" w:rsidRDefault="00251D90" w:rsidP="009B23AE">
      <w:pPr>
        <w:spacing w:after="0" w:line="240" w:lineRule="auto"/>
        <w:rPr>
          <w:rFonts w:ascii="Times New Roman" w:hAnsi="Times New Roman"/>
          <w:vanish/>
          <w:sz w:val="24"/>
          <w:szCs w:val="24"/>
        </w:rPr>
      </w:pPr>
    </w:p>
    <w:tbl>
      <w:tblPr>
        <w:tblW w:w="10699" w:type="dxa"/>
        <w:tblCellSpacing w:w="15" w:type="dxa"/>
        <w:tblCellMar>
          <w:left w:w="0" w:type="dxa"/>
          <w:right w:w="0" w:type="dxa"/>
        </w:tblCellMar>
        <w:tblLook w:val="00A0"/>
      </w:tblPr>
      <w:tblGrid>
        <w:gridCol w:w="10699"/>
      </w:tblGrid>
      <w:tr w:rsidR="00251D90" w:rsidRPr="00196806" w:rsidTr="009B23AE">
        <w:trPr>
          <w:tblCellSpacing w:w="15" w:type="dxa"/>
        </w:trPr>
        <w:tc>
          <w:tcPr>
            <w:tcW w:w="0" w:type="auto"/>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 </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Удосконалення загальної середньої освіти спрямовано на переорієнтацію процесу навчання на розвиток особистості учня, навчання його самостійно оволодівати новими знаннями. Сучасна молода людина об'єктивно змушена бути більш мобільною, інформованою, критично і творчо мислячою, а значить і більш мотивованою до самонавчання і саморозвитку.</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Новий етап у розвитку шкільної освіти пов'язаний із упровадженням компетентнісного підходу до формування змісту та організації навчального процесу. У чинних навчальних програмах для 12-річної школи на засадах компетентнісного підходу переструктуровано зміст предметів, розроблено результативну складову змісту. До кожної теми програми визначено обов'язкові результати навчання: вимоги до знань, умінь учнів, що виражаються у різних видах навчальної діяльності (учень називає, наводить приклади, характеризує, визначає, розпізнає, аналізує, порівнює, робить висновки тощо).</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Упровадження компетентнісного підходу передбачає обов'язкове прогнозування результативної складової змісту, що вимагає адекватних змін у системі оцінювання навчальних досягнень.</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 контексті цього змінюються і підходи до оцінювання результатів навчальних досягнень школярів як складової навчального процесу. Оцінювання має ґрунтуватися на позитивному принципі, що передусім передбачає врахування рівня досягнень учня, а не ступеня його невдач.</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Результати навчальної діяльності учнів на всіх етапах шкільної освіти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Компетентності не суперечать знанням, умінням, навичкам, вони передбачають здатність осмислено їх використовувати. Удосконалення освітнього процесу з урахуванням компетентнісного підходу полягає в тому, щоб навчити учнів застосовувати набуті знання й уміння в конкретних навчальних та життєвих ситуаціях.</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Вчені виокремлюють трирівневу ієрархію компетентностей. Предметні - формуються засобами навчальних предметів. Міжпредметні - належать до групи предметів або освітніх галузей.</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Компетентнісна освіта на предметному та міжпредметному рівнях орієнтована на засвоєння особистістю конкретних навчальних результатів - знань, умінь, навичок, формування ставлень, досвіду, рівень засвоєння яких дозволяє їй діяти адекватно у певних навчальних і життєвих ситуаціях.</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Найбільш універсальними є ключові компетентності, які формуються засобами міжпредметного і предметного змісту Перелік ключових компетентностей визначається на основі цілей загальної середньої освіти та основних видів діяльності учнів, які сприяють оволодінню соціальним досвідом, навичками життя й практичної діяльності в суспільстві.</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Міжнародна спільнота компетентнісний підхід вважає дієвим інструментом поліпшення якості освіти.</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Рада Європи, проводячи міжнародні дослідження, поглиблюючи та розвиваючи поняття компетентностей, пропонує перелік ключових компетентностей, якими мають володіти молоді європейці: політичні та соціальні компетентності; компетентності, пов'язані з життям у багатокультурному суспільстві; компетентності, що стосуються володіння усним та письмовим спілкуванням, компетентності, пов'язані з розвитком інформаційного суспільства; здатність вчитися протягом життя. Пізніше вони були об'єднані в три основні напрями: соціальні, пов'язані з соціальною діяльністю особистості, життям суспільства; мотиваційні, пов'язані з інтересами, індивідуальним вибором особистості; функціональні, пов'язані зі сферою знань, умінням оперувати науковими знаннями та фактичним матеріалом.</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На підставі міжнародних та національних досліджень в Україні виокремлено п'ять наскрізних ключових компетентностей:</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Уміння вчитися - передбачає формування індивідуального досвіду участі школяра в навчальному процесі, вміння, бажання організувати свою працю для досягнення успішного результату; оволодіння вміннями та навичками саморозвитку, самоаналізу, самоконтролю та самооцінки.</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Здоров'язбережувальна компетентність - пов'язана з готовністю вести здоровий спосіб життя у фізичній, соціальній, психічній та духовній сферах.</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Загальнокультурна (комунікативна) компетентність - передбачає опанування спілкуванням у сфері культурних, мовних, релігійних відносин; здатність цінувати найважливіші досягнення національної, європейської та світової культур.</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Соціально-трудова компетентність - пов'язана з готовністю робити свідомий вибір, орієнтуватися в проблемах сучасного суспільно-політичного життя; оволодіння етикою громадянських стосунків, навичками соціальної активності, функціональної грамотності; уміння організувати власну трудову та підприємницьку діяльності; оцінювати власні професійні можливості, здатність співвідносити їх із потребами ринку праці.</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Інформаційна компетентність - передбачає оволодіння новими інформаційними технологіями, уміннями відбирати, аналізувати, оцінювати інформацію, систематизувати її; використовувати джерела інформації для власного розвитку.</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Компетентність як інтегрований результат індивідуальної навчальної діяльності учнів, формується на основі оволодіння ними змістовими, процесуальними і мотиваційними компонентами, його рівень виявляється в процесі оцінювання.</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Основними функціями оцінювання навчальних досягнень учнів є:</w:t>
            </w:r>
          </w:p>
          <w:p w:rsidR="00251D90" w:rsidRPr="009B23AE" w:rsidRDefault="00251D90" w:rsidP="009B23AE">
            <w:pPr>
              <w:numPr>
                <w:ilvl w:val="0"/>
                <w:numId w:val="1"/>
              </w:numPr>
              <w:spacing w:before="100" w:beforeAutospacing="1" w:after="77" w:line="240" w:lineRule="auto"/>
              <w:jc w:val="both"/>
              <w:rPr>
                <w:rFonts w:ascii="Times New Roman" w:hAnsi="Times New Roman"/>
                <w:sz w:val="24"/>
                <w:szCs w:val="24"/>
              </w:rPr>
            </w:pPr>
            <w:r w:rsidRPr="009B23AE">
              <w:rPr>
                <w:rFonts w:ascii="Times New Roman" w:hAnsi="Times New Roman"/>
                <w:sz w:val="24"/>
                <w:szCs w:val="24"/>
              </w:rPr>
              <w:t>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251D90" w:rsidRPr="009B23AE" w:rsidRDefault="00251D90" w:rsidP="009B23AE">
            <w:pPr>
              <w:numPr>
                <w:ilvl w:val="0"/>
                <w:numId w:val="1"/>
              </w:numPr>
              <w:spacing w:before="100" w:beforeAutospacing="1" w:after="77" w:line="240" w:lineRule="auto"/>
              <w:jc w:val="both"/>
              <w:rPr>
                <w:rFonts w:ascii="Times New Roman" w:hAnsi="Times New Roman"/>
                <w:sz w:val="24"/>
                <w:szCs w:val="24"/>
              </w:rPr>
            </w:pPr>
            <w:r w:rsidRPr="009B23AE">
              <w:rPr>
                <w:rFonts w:ascii="Times New Roman" w:hAnsi="Times New Roman"/>
                <w:sz w:val="24"/>
                <w:szCs w:val="24"/>
              </w:rPr>
              <w:t>навчальна - сприяє повторенню, уточненню й поглибленню знань, їх систематизації, вдосконаленню умінь та навичок;</w:t>
            </w:r>
          </w:p>
          <w:p w:rsidR="00251D90" w:rsidRPr="009B23AE" w:rsidRDefault="00251D90" w:rsidP="009B23AE">
            <w:pPr>
              <w:numPr>
                <w:ilvl w:val="0"/>
                <w:numId w:val="1"/>
              </w:numPr>
              <w:spacing w:before="100" w:beforeAutospacing="1" w:after="77" w:line="240" w:lineRule="auto"/>
              <w:jc w:val="both"/>
              <w:rPr>
                <w:rFonts w:ascii="Times New Roman" w:hAnsi="Times New Roman"/>
                <w:sz w:val="24"/>
                <w:szCs w:val="24"/>
              </w:rPr>
            </w:pPr>
            <w:r w:rsidRPr="009B23AE">
              <w:rPr>
                <w:rFonts w:ascii="Times New Roman" w:hAnsi="Times New Roman"/>
                <w:sz w:val="24"/>
                <w:szCs w:val="24"/>
              </w:rPr>
              <w:t>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251D90" w:rsidRPr="009B23AE" w:rsidRDefault="00251D90" w:rsidP="009B23AE">
            <w:pPr>
              <w:numPr>
                <w:ilvl w:val="0"/>
                <w:numId w:val="1"/>
              </w:numPr>
              <w:spacing w:before="100" w:beforeAutospacing="1" w:after="77" w:line="240" w:lineRule="auto"/>
              <w:jc w:val="both"/>
              <w:rPr>
                <w:rFonts w:ascii="Times New Roman" w:hAnsi="Times New Roman"/>
                <w:sz w:val="24"/>
                <w:szCs w:val="24"/>
              </w:rPr>
            </w:pPr>
            <w:r w:rsidRPr="009B23AE">
              <w:rPr>
                <w:rFonts w:ascii="Times New Roman" w:hAnsi="Times New Roman"/>
                <w:sz w:val="24"/>
                <w:szCs w:val="24"/>
              </w:rPr>
              <w:t>стимулювально-мотиваційна - формує позитивні мотиви навчання;</w:t>
            </w:r>
          </w:p>
          <w:p w:rsidR="00251D90" w:rsidRPr="009B23AE" w:rsidRDefault="00251D90" w:rsidP="009B23AE">
            <w:pPr>
              <w:numPr>
                <w:ilvl w:val="0"/>
                <w:numId w:val="1"/>
              </w:numPr>
              <w:spacing w:before="100" w:beforeAutospacing="1" w:after="77" w:line="240" w:lineRule="auto"/>
              <w:jc w:val="both"/>
              <w:rPr>
                <w:rFonts w:ascii="Times New Roman" w:hAnsi="Times New Roman"/>
                <w:sz w:val="24"/>
                <w:szCs w:val="24"/>
              </w:rPr>
            </w:pPr>
            <w:r w:rsidRPr="009B23AE">
              <w:rPr>
                <w:rFonts w:ascii="Times New Roman" w:hAnsi="Times New Roman"/>
                <w:sz w:val="24"/>
                <w:szCs w:val="24"/>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 При оцінюванні навчальних досягнень учнів мають ураховуватися:</w:t>
            </w:r>
          </w:p>
          <w:p w:rsidR="00251D90" w:rsidRPr="009B23AE" w:rsidRDefault="00251D90" w:rsidP="009B23AE">
            <w:pPr>
              <w:numPr>
                <w:ilvl w:val="0"/>
                <w:numId w:val="1"/>
              </w:numPr>
              <w:spacing w:before="100" w:beforeAutospacing="1" w:after="77" w:line="240" w:lineRule="auto"/>
              <w:jc w:val="both"/>
              <w:rPr>
                <w:rFonts w:ascii="Times New Roman" w:hAnsi="Times New Roman"/>
                <w:sz w:val="24"/>
                <w:szCs w:val="24"/>
              </w:rPr>
            </w:pPr>
            <w:r w:rsidRPr="009B23AE">
              <w:rPr>
                <w:rFonts w:ascii="Times New Roman" w:hAnsi="Times New Roman"/>
                <w:sz w:val="24"/>
                <w:szCs w:val="24"/>
              </w:rPr>
              <w:t>характеристики відповіді учня: правильність, логічність, обґрунтованість, цілісність;</w:t>
            </w:r>
          </w:p>
          <w:p w:rsidR="00251D90" w:rsidRPr="009B23AE" w:rsidRDefault="00251D90" w:rsidP="009B23AE">
            <w:pPr>
              <w:numPr>
                <w:ilvl w:val="0"/>
                <w:numId w:val="1"/>
              </w:numPr>
              <w:spacing w:before="100" w:beforeAutospacing="1" w:after="77" w:line="240" w:lineRule="auto"/>
              <w:jc w:val="both"/>
              <w:rPr>
                <w:rFonts w:ascii="Times New Roman" w:hAnsi="Times New Roman"/>
                <w:sz w:val="24"/>
                <w:szCs w:val="24"/>
              </w:rPr>
            </w:pPr>
            <w:r w:rsidRPr="009B23AE">
              <w:rPr>
                <w:rFonts w:ascii="Times New Roman" w:hAnsi="Times New Roman"/>
                <w:sz w:val="24"/>
                <w:szCs w:val="24"/>
              </w:rPr>
              <w:t>якість знань: повнота, глибина, гнучкість, системність, міцність;</w:t>
            </w:r>
          </w:p>
          <w:p w:rsidR="00251D90" w:rsidRPr="009B23AE" w:rsidRDefault="00251D90" w:rsidP="009B23AE">
            <w:pPr>
              <w:numPr>
                <w:ilvl w:val="0"/>
                <w:numId w:val="1"/>
              </w:numPr>
              <w:spacing w:before="100" w:beforeAutospacing="1" w:after="77" w:line="240" w:lineRule="auto"/>
              <w:jc w:val="both"/>
              <w:rPr>
                <w:rFonts w:ascii="Times New Roman" w:hAnsi="Times New Roman"/>
                <w:sz w:val="24"/>
                <w:szCs w:val="24"/>
              </w:rPr>
            </w:pPr>
            <w:r w:rsidRPr="009B23AE">
              <w:rPr>
                <w:rFonts w:ascii="Times New Roman" w:hAnsi="Times New Roman"/>
                <w:sz w:val="24"/>
                <w:szCs w:val="24"/>
              </w:rPr>
              <w:t>сформованість загальнонавчальних та предметних умінь і навичок;</w:t>
            </w:r>
          </w:p>
          <w:p w:rsidR="00251D90" w:rsidRPr="009B23AE" w:rsidRDefault="00251D90" w:rsidP="009B23AE">
            <w:pPr>
              <w:numPr>
                <w:ilvl w:val="0"/>
                <w:numId w:val="1"/>
              </w:numPr>
              <w:spacing w:before="100" w:beforeAutospacing="1" w:after="77" w:line="240" w:lineRule="auto"/>
              <w:jc w:val="both"/>
              <w:rPr>
                <w:rFonts w:ascii="Times New Roman" w:hAnsi="Times New Roman"/>
                <w:sz w:val="24"/>
                <w:szCs w:val="24"/>
              </w:rPr>
            </w:pPr>
            <w:r w:rsidRPr="009B23AE">
              <w:rPr>
                <w:rFonts w:ascii="Times New Roman" w:hAnsi="Times New Roman"/>
                <w:sz w:val="24"/>
                <w:szCs w:val="24"/>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251D90" w:rsidRPr="009B23AE" w:rsidRDefault="00251D90" w:rsidP="009B23AE">
            <w:pPr>
              <w:numPr>
                <w:ilvl w:val="0"/>
                <w:numId w:val="1"/>
              </w:numPr>
              <w:spacing w:before="100" w:beforeAutospacing="1" w:after="77" w:line="240" w:lineRule="auto"/>
              <w:jc w:val="both"/>
              <w:rPr>
                <w:rFonts w:ascii="Times New Roman" w:hAnsi="Times New Roman"/>
                <w:sz w:val="24"/>
                <w:szCs w:val="24"/>
              </w:rPr>
            </w:pPr>
            <w:r w:rsidRPr="009B23AE">
              <w:rPr>
                <w:rFonts w:ascii="Times New Roman" w:hAnsi="Times New Roman"/>
                <w:sz w:val="24"/>
                <w:szCs w:val="24"/>
              </w:rPr>
              <w:t>досвід творчої діяльності (вміння виявляти проблеми та розв'язувати їх, формулювати гіпотези);</w:t>
            </w:r>
          </w:p>
          <w:p w:rsidR="00251D90" w:rsidRPr="009B23AE" w:rsidRDefault="00251D90" w:rsidP="009B23AE">
            <w:pPr>
              <w:numPr>
                <w:ilvl w:val="0"/>
                <w:numId w:val="1"/>
              </w:numPr>
              <w:spacing w:before="100" w:beforeAutospacing="1" w:after="77" w:line="240" w:lineRule="auto"/>
              <w:jc w:val="both"/>
              <w:rPr>
                <w:rFonts w:ascii="Times New Roman" w:hAnsi="Times New Roman"/>
                <w:sz w:val="24"/>
                <w:szCs w:val="24"/>
              </w:rPr>
            </w:pPr>
            <w:r w:rsidRPr="009B23AE">
              <w:rPr>
                <w:rFonts w:ascii="Times New Roman" w:hAnsi="Times New Roman"/>
                <w:sz w:val="24"/>
                <w:szCs w:val="24"/>
              </w:rPr>
              <w:t>самостійність оцінних суджень.</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Характеристики якості знань взаємопов'язані між собою і доповнюють одна одну.</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Повнота знань - кількість знань, визначених навчальною програмою.</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Глибина знань - усвідомленість існуючих зв'язків між групами знань.</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Системність знань - усвідомлення структури знань, їх ієрархії і послідовності, тобто усвідомлення одних знань як базових для інших.</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Міцність знань - тривалість збереження їх в пам'яті, відтворення їх в необхідних ситуаціях.</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Знання є складовою умінь учнів діяти. Уміння виявляються в різних видах діяльності і поділяються на розумові і практичні.</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Навички - дії доведені до автоматизму у результаті виконання вправ. Для сформованих навичок характерні швидкість і точність відтворення.</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у навчальній діяльності, зростанні вимог до свої навчальних досягнень.</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Названі вище орієнтири покладено в основу чотирьох рівнів навчальних досягнень учнів: початкового, середнього, достатнього, високого.</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Вони визначаються за такими характеристиками:</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Перший рівень - початковий. Відповідь учня (учениці) фрагментарна, характеризується початковими уявленнями про предмет вивчення.</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(таблиця ).</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Кожний наступний рівень вимог вбирає в себе вимоги до попереднього, а також додає нові характеристики.</w:t>
            </w:r>
          </w:p>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tbl>
            <w:tblPr>
              <w:tblW w:w="10606" w:type="dxa"/>
              <w:tblCellSpacing w:w="7" w:type="dxa"/>
              <w:tblCellMar>
                <w:top w:w="45" w:type="dxa"/>
                <w:left w:w="45" w:type="dxa"/>
                <w:bottom w:w="45" w:type="dxa"/>
                <w:right w:w="45" w:type="dxa"/>
              </w:tblCellMar>
              <w:tblLook w:val="00A0"/>
            </w:tblPr>
            <w:tblGrid>
              <w:gridCol w:w="1852"/>
              <w:gridCol w:w="996"/>
              <w:gridCol w:w="7758"/>
            </w:tblGrid>
            <w:tr w:rsidR="00251D90" w:rsidRPr="00196806" w:rsidTr="009B23AE">
              <w:trPr>
                <w:tblCellSpacing w:w="7" w:type="dxa"/>
              </w:trPr>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center"/>
                    <w:rPr>
                      <w:rFonts w:ascii="Times New Roman" w:hAnsi="Times New Roman"/>
                      <w:sz w:val="24"/>
                      <w:szCs w:val="24"/>
                    </w:rPr>
                  </w:pPr>
                  <w:r w:rsidRPr="009B23AE">
                    <w:rPr>
                      <w:rFonts w:ascii="Times New Roman" w:hAnsi="Times New Roman"/>
                      <w:b/>
                      <w:bCs/>
                      <w:sz w:val="24"/>
                      <w:szCs w:val="24"/>
                    </w:rPr>
                    <w:t>Рівні навчальних досягнень</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center"/>
                    <w:rPr>
                      <w:rFonts w:ascii="Times New Roman" w:hAnsi="Times New Roman"/>
                      <w:sz w:val="24"/>
                      <w:szCs w:val="24"/>
                    </w:rPr>
                  </w:pPr>
                  <w:r w:rsidRPr="009B23AE">
                    <w:rPr>
                      <w:rFonts w:ascii="Times New Roman" w:hAnsi="Times New Roman"/>
                      <w:b/>
                      <w:bCs/>
                      <w:sz w:val="24"/>
                      <w:szCs w:val="24"/>
                    </w:rPr>
                    <w:t>Бали</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center"/>
                    <w:rPr>
                      <w:rFonts w:ascii="Times New Roman" w:hAnsi="Times New Roman"/>
                      <w:sz w:val="24"/>
                      <w:szCs w:val="24"/>
                    </w:rPr>
                  </w:pPr>
                  <w:r w:rsidRPr="009B23AE">
                    <w:rPr>
                      <w:rFonts w:ascii="Times New Roman" w:hAnsi="Times New Roman"/>
                      <w:b/>
                      <w:bCs/>
                      <w:sz w:val="24"/>
                      <w:szCs w:val="24"/>
                    </w:rPr>
                    <w:t>Загальні критерії оцінювання навчальних досягнень учнів</w:t>
                  </w:r>
                </w:p>
              </w:tc>
            </w:tr>
            <w:tr w:rsidR="00251D90" w:rsidRPr="00196806" w:rsidTr="009B23A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I. Початковий</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Учень (учениця) розрізняє об'єкти вивчення</w:t>
                  </w:r>
                </w:p>
              </w:tc>
            </w:tr>
            <w:tr w:rsidR="00251D90" w:rsidRPr="00196806" w:rsidTr="009B23A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251D90" w:rsidRPr="009B23AE" w:rsidRDefault="00251D90" w:rsidP="009B23AE">
                  <w:pPr>
                    <w:spacing w:after="0" w:line="240" w:lineRule="auto"/>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Учень (учениця) відтворює незначну частину навчального матеріалу, має нечіткі уявлення про об'єкт вивчення</w:t>
                  </w:r>
                </w:p>
              </w:tc>
            </w:tr>
            <w:tr w:rsidR="00251D90" w:rsidRPr="00196806" w:rsidTr="009B23A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251D90" w:rsidRPr="009B23AE" w:rsidRDefault="00251D90" w:rsidP="009B23AE">
                  <w:pPr>
                    <w:spacing w:after="0" w:line="240" w:lineRule="auto"/>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Учень (учениця) відтворює частину навчального матеріалу; з допомогою вчителя виконує елементарні завдання</w:t>
                  </w:r>
                </w:p>
              </w:tc>
            </w:tr>
            <w:tr w:rsidR="00251D90" w:rsidRPr="00196806" w:rsidTr="009B23A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II. Середній</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Учень (учениця) з допомогою вчителя відтворює основний навчальний матеріал, може повторити за зразком певну операцію, дію</w:t>
                  </w:r>
                </w:p>
              </w:tc>
            </w:tr>
            <w:tr w:rsidR="00251D90" w:rsidRPr="00196806" w:rsidTr="009B23A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251D90" w:rsidRPr="009B23AE" w:rsidRDefault="00251D90" w:rsidP="009B23AE">
                  <w:pPr>
                    <w:spacing w:after="0" w:line="240" w:lineRule="auto"/>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Учень (учениця) відтворює основний навчальний матеріал, здатний з помилками й неточностями дати визначення понять, сформулювати правило</w:t>
                  </w:r>
                </w:p>
              </w:tc>
            </w:tr>
            <w:tr w:rsidR="00251D90" w:rsidRPr="00196806" w:rsidTr="009B23A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251D90" w:rsidRPr="009B23AE" w:rsidRDefault="00251D90" w:rsidP="009B23AE">
                  <w:pPr>
                    <w:spacing w:after="0" w:line="240" w:lineRule="auto"/>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Учень (учениця) виявляє знання й розуміння основних положень навчального матеріалу. Відповідь його(її) правильна, але недостатньо осмислена. Вміє застосовувати знання при виконанні завдань за зразком</w:t>
                  </w:r>
                </w:p>
              </w:tc>
            </w:tr>
            <w:tr w:rsidR="00251D90" w:rsidRPr="00196806" w:rsidTr="009B23A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III. Достатній</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Учень (учениця) правильно відтворює навчальний матеріал, знає основоположні теорії і факти, вміє наводити окремі власні приклади на підтвердження певних думок, частково контролює власні навчальні дії</w:t>
                  </w:r>
                </w:p>
              </w:tc>
            </w:tr>
            <w:tr w:rsidR="00251D90" w:rsidRPr="00196806" w:rsidTr="009B23A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251D90" w:rsidRPr="009B23AE" w:rsidRDefault="00251D90" w:rsidP="009B23AE">
                  <w:pPr>
                    <w:spacing w:after="0" w:line="240" w:lineRule="auto"/>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Знання учня (учениці)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Відповідь його (її) логічна, хоч і має неточності</w:t>
                  </w:r>
                </w:p>
              </w:tc>
            </w:tr>
            <w:tr w:rsidR="00251D90" w:rsidRPr="00196806" w:rsidTr="009B23A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251D90" w:rsidRPr="009B23AE" w:rsidRDefault="00251D90" w:rsidP="009B23AE">
                  <w:pPr>
                    <w:spacing w:after="0" w:line="240" w:lineRule="auto"/>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9</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Учень (учениця) добре володіє вивченим матеріалом, застосовує знання в стандартних ситуаціях, уміє аналізувати й систематизувати інформацію, використовує загальновідомі докази із самостійною і правильною аргументацією</w:t>
                  </w:r>
                </w:p>
              </w:tc>
            </w:tr>
            <w:tr w:rsidR="00251D90" w:rsidRPr="00196806" w:rsidTr="009B23A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IV. Високий</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Учень (учениця) має повні, глибокі знання, здатний (а) використовувати їх у практичній діяльності, робити висновки, узагальнення</w:t>
                  </w:r>
                </w:p>
              </w:tc>
            </w:tr>
            <w:tr w:rsidR="00251D90" w:rsidRPr="00196806" w:rsidTr="009B23A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251D90" w:rsidRPr="009B23AE" w:rsidRDefault="00251D90" w:rsidP="009B23AE">
                  <w:pPr>
                    <w:spacing w:after="0" w:line="240" w:lineRule="auto"/>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Учень (учениця) має гнучкі знання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rsidR="00251D90" w:rsidRPr="00196806" w:rsidTr="009B23A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251D90" w:rsidRPr="009B23AE" w:rsidRDefault="00251D90" w:rsidP="009B23AE">
                  <w:pPr>
                    <w:spacing w:after="0" w:line="240" w:lineRule="auto"/>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tcPr>
                <w:p w:rsidR="00251D90" w:rsidRPr="009B23AE" w:rsidRDefault="00251D90" w:rsidP="009B23AE">
                  <w:pPr>
                    <w:spacing w:before="77" w:after="155" w:line="240" w:lineRule="auto"/>
                    <w:ind w:firstLine="310"/>
                    <w:jc w:val="both"/>
                    <w:rPr>
                      <w:rFonts w:ascii="Times New Roman" w:hAnsi="Times New Roman"/>
                      <w:sz w:val="24"/>
                      <w:szCs w:val="24"/>
                    </w:rPr>
                  </w:pPr>
                  <w:r w:rsidRPr="009B23AE">
                    <w:rPr>
                      <w:rFonts w:ascii="Times New Roman" w:hAnsi="Times New Roman"/>
                      <w:sz w:val="24"/>
                      <w:szCs w:val="24"/>
                    </w:rPr>
                    <w:t>Учень (учениця) має системні, міцні знання в обсязі та в межах вимог 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251D90" w:rsidRPr="003719FD" w:rsidRDefault="00251D90" w:rsidP="009B23AE">
            <w:pPr>
              <w:spacing w:after="0" w:line="372" w:lineRule="atLeast"/>
              <w:rPr>
                <w:rFonts w:ascii="Times New Roman" w:hAnsi="Times New Roman"/>
                <w:sz w:val="24"/>
                <w:szCs w:val="24"/>
                <w:lang w:val="uk-UA"/>
              </w:rPr>
            </w:pPr>
          </w:p>
        </w:tc>
      </w:tr>
    </w:tbl>
    <w:p w:rsidR="00251D90" w:rsidRDefault="00251D90"/>
    <w:sectPr w:rsidR="00251D90" w:rsidSect="009B23AE">
      <w:pgSz w:w="11906" w:h="16838"/>
      <w:pgMar w:top="1134" w:right="85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1C7B"/>
    <w:multiLevelType w:val="multilevel"/>
    <w:tmpl w:val="BBF6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C518A3"/>
    <w:multiLevelType w:val="multilevel"/>
    <w:tmpl w:val="9266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3AE"/>
    <w:rsid w:val="00196806"/>
    <w:rsid w:val="00251D90"/>
    <w:rsid w:val="003719FD"/>
    <w:rsid w:val="00487F64"/>
    <w:rsid w:val="00927B5D"/>
    <w:rsid w:val="009B23AE"/>
    <w:rsid w:val="00EE70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5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B23AE"/>
    <w:rPr>
      <w:rFonts w:cs="Times New Roman"/>
      <w:color w:val="0000FF"/>
      <w:u w:val="single"/>
    </w:rPr>
  </w:style>
  <w:style w:type="paragraph" w:styleId="NormalWeb">
    <w:name w:val="Normal (Web)"/>
    <w:basedOn w:val="Normal"/>
    <w:uiPriority w:val="99"/>
    <w:rsid w:val="009B23A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9B23AE"/>
    <w:rPr>
      <w:rFonts w:cs="Times New Roman"/>
      <w:b/>
      <w:bCs/>
    </w:rPr>
  </w:style>
  <w:style w:type="character" w:styleId="Emphasis">
    <w:name w:val="Emphasis"/>
    <w:basedOn w:val="DefaultParagraphFont"/>
    <w:uiPriority w:val="99"/>
    <w:qFormat/>
    <w:rsid w:val="009B23AE"/>
    <w:rPr>
      <w:rFonts w:cs="Times New Roman"/>
      <w:i/>
      <w:iCs/>
    </w:rPr>
  </w:style>
</w:styles>
</file>

<file path=word/webSettings.xml><?xml version="1.0" encoding="utf-8"?>
<w:webSettings xmlns:r="http://schemas.openxmlformats.org/officeDocument/2006/relationships" xmlns:w="http://schemas.openxmlformats.org/wordprocessingml/2006/main">
  <w:divs>
    <w:div w:id="1596480905">
      <w:marLeft w:val="0"/>
      <w:marRight w:val="0"/>
      <w:marTop w:val="0"/>
      <w:marBottom w:val="0"/>
      <w:divBdr>
        <w:top w:val="none" w:sz="0" w:space="0" w:color="auto"/>
        <w:left w:val="none" w:sz="0" w:space="0" w:color="auto"/>
        <w:bottom w:val="none" w:sz="0" w:space="0" w:color="auto"/>
        <w:right w:val="none" w:sz="0" w:space="0" w:color="auto"/>
      </w:divBdr>
    </w:div>
    <w:div w:id="1596480907">
      <w:marLeft w:val="0"/>
      <w:marRight w:val="0"/>
      <w:marTop w:val="0"/>
      <w:marBottom w:val="0"/>
      <w:divBdr>
        <w:top w:val="none" w:sz="0" w:space="0" w:color="auto"/>
        <w:left w:val="none" w:sz="0" w:space="0" w:color="auto"/>
        <w:bottom w:val="none" w:sz="0" w:space="0" w:color="auto"/>
        <w:right w:val="none" w:sz="0" w:space="0" w:color="auto"/>
      </w:divBdr>
      <w:divsChild>
        <w:div w:id="1596480906">
          <w:marLeft w:val="0"/>
          <w:marRight w:val="0"/>
          <w:marTop w:val="0"/>
          <w:marBottom w:val="0"/>
          <w:divBdr>
            <w:top w:val="none" w:sz="0" w:space="0" w:color="auto"/>
            <w:left w:val="none" w:sz="0" w:space="0" w:color="auto"/>
            <w:bottom w:val="none" w:sz="0" w:space="0" w:color="auto"/>
            <w:right w:val="none" w:sz="0" w:space="0" w:color="auto"/>
          </w:divBdr>
        </w:div>
        <w:div w:id="159648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a.kharkov.ua/index.php/pi/2011-05-11-15-40-29/2013-11-17-21-56-40/2013-12-15-17-20-06/2013-12-15-17-24-53/5047-2013-12-15-19-27-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1822</Words>
  <Characters>10389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2019-04-01T10:56:00Z</dcterms:created>
  <dcterms:modified xsi:type="dcterms:W3CDTF">2019-04-03T09:31:00Z</dcterms:modified>
</cp:coreProperties>
</file>